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ISTITUZIONE SCOLASTICA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Prot.                                                                                                                                         data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PATTO PER LO SVILUPPO PROFESSIONALE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03"/>
        <w:gridCol w:w="7835"/>
        <w:tblGridChange w:id="0">
          <w:tblGrid>
            <w:gridCol w:w="1803"/>
            <w:gridCol w:w="7835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VISTO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il D.M. n. 226/2022, art. 5, commi 2 e 3;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VISTA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nota ministeriale prot.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65741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del 07.11.2023, avente ad oggetto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“Periodo di formazione e prova per i docenti neo-assunti e per i docenti che hanno ottenuto il passaggio di ruolo. Attività formative per l’a.s. 2023-2024”;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VISTA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i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nota dell’Ufficio III dell’USR Campania prot. AOODRCA R.U.U. 55590 del 28.11.2023,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highlight w:val="white"/>
                <w:rtl w:val="0"/>
              </w:rPr>
              <w:t xml:space="preserve">concernente gli elementi strutturali del percorso di formazione e prova dei docenti neoassunti a.s. 2023/2024;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ESAMINATO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il Bilancio iniziale delle competenze elaborato dal docente ……………………………;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ANALIZZATI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il PTOF, i curricula degli studi e la documentazione dei Consigli di intersezione/interclasse/classe;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SENTITO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il docente tutor ……………………………………. nominato con atto prot……………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del………….,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docente neoassunto (o in periodo di formazione e prova)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(in seguito chiamato “docente”) in    servizio   presso   questa istituzione scolastica a decorrere dal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Dirigente Scolastico 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 PATTUISCE QUANTO SEGUE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1 FINALITA’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Il presente atto si propone di delineare alcuni impegni e percorsi formativi volti a migliorare la professionalità del docente nel contesto della scuola in cui opera.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2 COMPETENZE DA POTENZIARE, RAFFORZARE O COSTRUIRE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corrente anno scolastico 2023/2024,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competenze da acquisire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come evidenziate nel bilancio iniziale, afferenti a specifiche aree di professionalità, sono le seguenti:</w:t>
      </w:r>
    </w:p>
    <w:p w:rsidR="00000000" w:rsidDel="00000000" w:rsidP="00000000" w:rsidRDefault="00000000" w:rsidRPr="00000000" w14:paraId="0000002D">
      <w:pPr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5"/>
        <w:gridCol w:w="3029"/>
        <w:tblGridChange w:id="0">
          <w:tblGrid>
            <w:gridCol w:w="6105"/>
            <w:gridCol w:w="30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sviluppare strategie metodologiche inclusive valorizzando le differenze;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INSEGNAMENTO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orientare gli alunni, valorizzandone abilità e attitudini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2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realizzare collegamenti interdisciplinari;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collaborare e relazionarsi positivamente con i colleghi e con tutto il personale;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PARTECIPAZIONE ALLA VITA DELLA SCUOLA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istituire rapporti efficaci e corretti con le famiglie degli alunni;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approfondire la conoscenza sugli sviluppi culturali e metodologici dei campi di esperienza/ delle discipline/ del proprio campo disciplinare;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2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FORMAZIONE CONTINUA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utilizzare strumenti efficaci di documentazione della formazione e favorirne la diffusione tra i colleghi.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Per il corrente anno scolastico 2023/2024,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competenze da potenziare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come evidenziate nel bilancio iniziale, afferenti a specifiche aree di professionalità sono le seguenti: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5"/>
        <w:gridCol w:w="3029"/>
        <w:tblGridChange w:id="0">
          <w:tblGrid>
            <w:gridCol w:w="6105"/>
            <w:gridCol w:w="30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migliorare le proprie competenze disciplinari e di mediazione/insegnamento della propria disciplina;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2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INSEGNAMENTO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migliorare le proprie competenze nell’impiego delle metodologie attive e della didattica differenziata;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attivare un più efficace confronto con i colleghi;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2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PARTECIPAZIONE ALLA VITA DELLA SCUOLA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contribuire maggiormente agli aspetti organizzativi e alle attività funzionali all’insegnamento;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valorizzare la pratica autoriflessiva sull’esperienza professionale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FORMAZIONE CONTINUA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es: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2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aggiornarsi sugli sviluppi culturali e metodologici della propria disciplina e della relativa didattica.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highlight w:val="white"/>
          <w:rtl w:val="0"/>
        </w:rPr>
        <w:t xml:space="preserve">Tali obiettivi sono da raggiungere attraverso le attività formative connesse al periodo di formazione e prova, di cui all’articolo 6 del D.M. 226/2022, e la partecipazione ad attività formative programmate dall’istituzione scolastica di servizio o da reti di scuole, organizzate dall’Ufficio Scolastico Regionale, Università o enti accreditati, anche mediante l’utilizzo eventuale delle risorse relative al bonus per la formazione (art. 1, comma 121, della L.107/15).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3 IMPEGNI DEL DOCENTE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3030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303030"/>
        </w:rPr>
      </w:pPr>
      <w:r w:rsidDel="00000000" w:rsidR="00000000" w:rsidRPr="00000000">
        <w:rPr>
          <w:rFonts w:ascii="Webdings" w:cs="Webdings" w:eastAsia="Webdings" w:hAnsi="Webdings"/>
          <w:color w:val="303030"/>
          <w:highlight w:val="white"/>
          <w:rtl w:val="0"/>
        </w:rPr>
        <w:t xml:space="preserve">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highlight w:val="white"/>
          <w:rtl w:val="0"/>
        </w:rPr>
        <w:t xml:space="preserve">Il docente in periodo di formazione e prova redige la propria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03030"/>
          <w:highlight w:val="white"/>
          <w:rtl w:val="0"/>
        </w:rPr>
        <w:t xml:space="preserve">programmazione annuale,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highlight w:val="white"/>
          <w:rtl w:val="0"/>
        </w:rPr>
        <w:t xml:space="preserve"> 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3 del Decreto Ministeriale n. 226/2022).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ebdings" w:cs="Webdings" w:eastAsia="Webdings" w:hAnsi="Webdings"/>
          <w:rtl w:val="0"/>
        </w:rPr>
        <w:t xml:space="preserve">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docente si impegna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potenziare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costruire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le suindicate competenze attraverso: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alle attività formative destinate ai docenti in anno di formazione e prova;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alle attività formative attivate da questa istituzione scolastica o dalle reti di scuole a cui essa partecipa;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frequenza di percorsi formativi finalizzati al proprio sviluppo professionale e al rafforzamento delle proprie competenze, anche eventualmente utilizzando delle risorse ricevute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 Carta di cui all’articolo 1, comma 121, della Legge 107/2015.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Webdings" w:cs="Webdings" w:eastAsia="Webdings" w:hAnsi="Webdings"/>
          <w:rtl w:val="0"/>
        </w:rPr>
        <w:t xml:space="preserve">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indica le aree di interesse che intende approfondire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 coerenza con le priorità per la formazione di cui alla citata nota ministeriale prot. 65741 del 07.11.2023: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  <w:tab w:val="left" w:leader="none" w:pos="11520"/>
          <w:tab w:val="left" w:leader="none" w:pos="12960"/>
          <w:tab w:val="left" w:leader="none" w:pos="14400"/>
          <w:tab w:val="left" w:leader="none" w:pos="15840"/>
          <w:tab w:val="left" w:leader="none" w:pos="0"/>
          <w:tab w:val="left" w:leader="none" w:pos="1440"/>
          <w:tab w:val="left" w:leader="none" w:pos="2880"/>
          <w:tab w:val="left" w:leader="none" w:pos="4320"/>
          <w:tab w:val="left" w:leader="none" w:pos="5760"/>
          <w:tab w:val="left" w:leader="none" w:pos="7200"/>
          <w:tab w:val="left" w:leader="none" w:pos="8640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orientamento; ruolo dei docenti tutor e orientatore (nei percorsi di istruzione secondaria);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della classe e delle attività didattiche in situazioni di emergenza;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tecnologie della didattica digitale e loro integrazione nel curricolo;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ampliamento e consolidamento delle competenze digitali dei docenti;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inclusione sociale e dinamiche interculturali;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bisogni educativi speciali;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innovazione della didattica delle discipline e motivazione all’apprendimento;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buone pratiche di didattiche disciplinari;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della classe e dinamiche relazionali, con particolare riferimento alla prevenzione dei fenomeni di violenza, bullismo e cyberbullismo, discriminazioni;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percorsi per competenze relazionali e trasversali;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contrasto alla dispersione scolastica;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insegnamento di educazione civica con particolare riferimento alla prevenzione e al contrasto delle dipendenze;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valutazione didattica degli apprendimenti;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valutazione di sistema (autovalutazione e miglioramento);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educazione alla sostenibilità.</w:t>
      </w:r>
    </w:p>
    <w:p w:rsidR="00000000" w:rsidDel="00000000" w:rsidP="00000000" w:rsidRDefault="00000000" w:rsidRPr="00000000" w14:paraId="0000008B">
      <w:pPr>
        <w:tabs>
          <w:tab w:val="left" w:leader="none" w:pos="8715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4 IMPEGNI DEL DIRIGENTE SCOLASTICO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Dirigente Scolastico si impegna a: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docente in formazione e prova circa le caratteristiche salienti del percorso formativo, gli obblighi di servizio e professionali connessi al periodo di prova, le modalità di svolgimento e di valutazione;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partecipazione ad attività formative coerenti con le competenze indicate nel documento e a fornire le informazioni in suo possesso circa iniziative di formazione interne o esterne.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Letto, confermato e sottoscritto</w:t>
      </w:r>
    </w:p>
    <w:p w:rsidR="00000000" w:rsidDel="00000000" w:rsidP="00000000" w:rsidRDefault="00000000" w:rsidRPr="00000000" w14:paraId="00000094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DOCENTE                                                                            IL DIRIGENTE SCOLASTICO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color w:val="80808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18"/>
          <w:szCs w:val="18"/>
          <w:rtl w:val="0"/>
        </w:rPr>
        <w:t xml:space="preserve">N.B. Il presente modello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08080"/>
          <w:sz w:val="18"/>
          <w:szCs w:val="18"/>
          <w:rtl w:val="0"/>
        </w:rPr>
        <w:t xml:space="preserve">non è in alcun modo vincolante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18"/>
          <w:szCs w:val="18"/>
          <w:rtl w:val="0"/>
        </w:rPr>
        <w:t xml:space="preserve">per le istituzioni scolastiche che potranno anche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08080"/>
          <w:sz w:val="18"/>
          <w:szCs w:val="18"/>
          <w:rtl w:val="0"/>
        </w:rPr>
        <w:t xml:space="preserve">contestualizzarlo e adattarlo ad esigenze specifiche.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Webdings"/>
  <w:font w:name="Palatino Linotype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Modello_Patto per lo sviluppo professionale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83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bullet"/>
      <w:lvlText w:val="-"/>
      <w:lvlJc w:val="left"/>
      <w:pPr>
        <w:ind w:left="628" w:hanging="360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348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